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Fair Access and Equity of Individualized Interventions for Ultrarare Genetic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rFonts w:ascii="Times New Roman" w:cs="Times New Roman" w:eastAsia="Times New Roman" w:hAnsi="Times New Roman"/>
          <w:color w:val="232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and 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September 8,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2023 | 12pm ET US / 9am PT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Speakers: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Alison Bateman-House, PhD, MPH &amp; Ingrid Holm, MD, MPH</w:t>
      </w:r>
    </w:p>
    <w:p w:rsidR="00000000" w:rsidDel="00000000" w:rsidP="00000000" w:rsidRDefault="00000000" w:rsidRPr="00000000" w14:paraId="00000005">
      <w:pPr>
        <w:spacing w:after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Moderator: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Meghan Halley, PhD, MPH</w:t>
      </w:r>
    </w:p>
    <w:p w:rsidR="00000000" w:rsidDel="00000000" w:rsidP="00000000" w:rsidRDefault="00000000" w:rsidRPr="00000000" w14:paraId="00000006">
      <w:pPr>
        <w:widowControl w:val="0"/>
        <w:spacing w:before="160" w:line="240" w:lineRule="auto"/>
        <w:ind w:left="3.600006103515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60" w:line="240" w:lineRule="auto"/>
        <w:ind w:left="3.600006103515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Biographies</w:t>
      </w:r>
    </w:p>
    <w:p w:rsidR="00000000" w:rsidDel="00000000" w:rsidP="00000000" w:rsidRDefault="00000000" w:rsidRPr="00000000" w14:paraId="00000008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Moderator: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Meghan Halley, PhD, MPH</w:t>
      </w:r>
    </w:p>
    <w:p w:rsidR="00000000" w:rsidDel="00000000" w:rsidP="00000000" w:rsidRDefault="00000000" w:rsidRPr="00000000" w14:paraId="00000009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https://elsihub.org/directory/meghan-c-halley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Panelist: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Alison Bateman-House, PhD, MPH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Biography: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https://elsihub.org/directory/alison-bateman-house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Panelist: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Ingrid Holm, MD, MPH</w:t>
      </w:r>
    </w:p>
    <w:p w:rsidR="00000000" w:rsidDel="00000000" w:rsidP="00000000" w:rsidRDefault="00000000" w:rsidRPr="00000000" w14:paraId="0000000D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Biography: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https://www.childrenshospital.org/directory/ingrid-holm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ELSIhub Collections</w:t>
      </w:r>
    </w:p>
    <w:p w:rsidR="00000000" w:rsidDel="00000000" w:rsidP="00000000" w:rsidRDefault="00000000" w:rsidRPr="00000000" w14:paraId="00000010">
      <w:pPr>
        <w:spacing w:before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>
          <w:rFonts w:ascii="Times New Roman" w:cs="Times New Roman" w:eastAsia="Times New Roman" w:hAnsi="Times New Roman"/>
          <w:color w:val="2424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ELSIhub Collections are essential reading lists on fundamental or emerging topics in ELSI, curated and explained by expert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ollection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ditors.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use the link to access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42424"/>
          <w:sz w:val="24"/>
          <w:szCs w:val="24"/>
          <w:rtl w:val="0"/>
        </w:rPr>
        <w:t xml:space="preserve">Paying for Cures: The Ethics and Economics of Gene Therapies for Rare Diseases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curated by Meghan Halley, PhD, MPH, Senior Research Scholar, Center for Biomedical Ethics, Stanford University School of Medicine.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https://elsihub.org/collection/paying-cures-ethics-and-economics-gene-therapies-rare-diseases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Meghan Halley, PhD, MPH</w:t>
      </w:r>
    </w:p>
    <w:p w:rsidR="00000000" w:rsidDel="00000000" w:rsidP="00000000" w:rsidRDefault="00000000" w:rsidRPr="00000000" w14:paraId="00000016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“Scientists Designed a Drug for Just One Patient. Her Name Is Mila” (2019):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https://www.nytimes.com/2019/10/09/health/mila-makovec-drug.html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“Patient-Customized Oligonucleotide Therapy for a Rare Genetic Disease” (2019):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https://doi.org/10.1056/NEJMoa1813279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“Drug Regulation in the Era of Individualized Therapies” (2019):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https://doi.org/10.1056/NEJMe1911295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Ingrid Holm, MD, MPH</w:t>
      </w:r>
    </w:p>
    <w:p w:rsidR="00000000" w:rsidDel="00000000" w:rsidP="00000000" w:rsidRDefault="00000000" w:rsidRPr="00000000" w14:paraId="0000001B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“Preparing n-of-1 Antisense Oligonucleotide Treatments for Rare Neurological Diseases in Europe: Genetic, Regulatory, and Ethical Perspectives” (2022):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https://doi.org/10.1089/nat.2021.0039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“A framework for individualized splice-switching oligonucleotide therapy” (2023):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https://www.nature.com/articles/s41586-023-06277-0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“Personalized medicine is having its day” (2023):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https://www.nature.com/articles/s41587-023-01724-9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Nusinersen versus Sham Control in Infantile-Onset Spinal Muscular Atrophy” (2017):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https://www.nejm.org/doi/full/10.1056/nejmoa1702752#:~:text=Infants%20who%20received%20nusinersen%20had%20a%20significantly%20higher%20likelihood%20of,receiving%20ventilatory%20support%20at%20baseline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Patient-Customized Oligonucleotide Therapy for a Rare Genetic Disease” (2019):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https://www.nejm.org/doi/full/10.1056/nejmoa1813279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“Antisense therapies: A new approach to tackling challenging targets in areas of high unmet medical need” (2023):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https://www.openaccessgovernment.org/antisense-therapies-tackling-challenging-high-unmet-medical/156151/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360" w:lineRule="auto"/>
        <w:jc w:val="left"/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Alison Bateman-House, PhD, MPH</w:t>
      </w:r>
    </w:p>
    <w:p w:rsidR="00000000" w:rsidDel="00000000" w:rsidP="00000000" w:rsidRDefault="00000000" w:rsidRPr="00000000" w14:paraId="00000023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n-lorem Foundation: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https://www.nlorem.org/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“IND Submissions for Individualized Antisense Oligonucleotide Drug Products for Severely Debilitating or Life-Threatening Diseases: Chemistry, Manufacturing, and Controls Recommendations Guidance for Sponsor-Investigators”: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https://www.fda.gov/media/154664/download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24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highlight w:val="white"/>
          <w:rtl w:val="0"/>
        </w:rPr>
        <w:t xml:space="preserve">Gene therapy death not caused by CRISPR, investigators confirm” (2023):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https://www.statnews.com/2023/05/18/gene-therapy-death-not-caused-by-crispr-investigators-confirm/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Alison.Bateman-House@nyulangone.org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Twitter: @ABatemanHouse</w:t>
      </w:r>
    </w:p>
    <w:p w:rsidR="00000000" w:rsidDel="00000000" w:rsidP="00000000" w:rsidRDefault="00000000" w:rsidRPr="00000000" w14:paraId="00000028">
      <w:pPr>
        <w:spacing w:after="240" w:line="360" w:lineRule="auto"/>
        <w:jc w:val="left"/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360" w:lineRule="auto"/>
        <w:jc w:val="center"/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highlight w:val="white"/>
          <w:rtl w:val="0"/>
        </w:rPr>
        <w:t xml:space="preserve">Audience Contributions</w:t>
      </w:r>
    </w:p>
    <w:p w:rsidR="00000000" w:rsidDel="00000000" w:rsidP="00000000" w:rsidRDefault="00000000" w:rsidRPr="00000000" w14:paraId="0000002A">
      <w:pPr>
        <w:spacing w:after="240" w:line="240" w:lineRule="auto"/>
        <w:jc w:val="left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Individualized interventions for rare genetic conditions and the research-treatment spectrum: Stakeholder perspectives”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(2023):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https://doi.org/10.1016/j.gim.2023.100832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jc w:val="left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c1d1e"/>
          <w:sz w:val="24"/>
          <w:szCs w:val="24"/>
          <w:highlight w:val="white"/>
          <w:rtl w:val="0"/>
        </w:rPr>
        <w:t xml:space="preserve">Oversight of Right-to-Try and Expanded Access Requests for Off-Trial Access to Investigational Drugs” (2020):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https://doi.org/10.1002/eahr.500038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jc w:val="left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Link to N=1 Collaborative: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https://www.n1collaborative.org/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jc w:val="left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jc w:val="left"/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 w:orient="portrait"/>
      <w:pgMar w:bottom="1678.951416015625" w:top="750" w:left="1441.4399719238281" w:right="1410.00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5943599" cy="600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599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da.gov/media/154664/download" TargetMode="External"/><Relationship Id="rId22" Type="http://schemas.openxmlformats.org/officeDocument/2006/relationships/hyperlink" Target="https://doi.org/10.1016/j.gim.2023.100832" TargetMode="External"/><Relationship Id="rId21" Type="http://schemas.openxmlformats.org/officeDocument/2006/relationships/hyperlink" Target="https://www.statnews.com/2023/05/18/gene-therapy-death-not-caused-by-crispr-investigators-confirm/#:~:text=Gene%20therapy%20death%20not%20caused%20by%20CRISPR%2C%20investigators%20confirm,-By%20Jason%20Mast&amp;text=Terry%20Horgan%2C%20the%2027,deliver%20the%20treatment%2C%20investigators%20concluded" TargetMode="External"/><Relationship Id="rId24" Type="http://schemas.openxmlformats.org/officeDocument/2006/relationships/hyperlink" Target="https://www.n1collaborative.org/" TargetMode="External"/><Relationship Id="rId23" Type="http://schemas.openxmlformats.org/officeDocument/2006/relationships/hyperlink" Target="https://doi.org/10.1002/eahr.50003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elsihub.org%2Fcollection%2Fpaying-cures-ethics-and-economics-gene-therapies-rare-diseases&amp;data=05%7C01%7Cts3508%40cumc.columbia.edu%7C242b793f2c85424bfd3008dbaef9eb76%7Cb0002a9b0017404d97dc3d3bab09be81%7C0%7C0%7C638296160650292899%7CUnknown%7CTWFpbGZsb3d8eyJWIjoiMC4wLjAwMDAiLCJQIjoiV2luMzIiLCJBTiI6Ik1haWwiLCJXVCI6Mn0%3D%7C3000%7C%7C%7C&amp;sdata=GMZn8t4O14GOxJvF45f1eQ%2FVAXNMrHfKJEWxPRKrTJQ%3D&amp;reserved=0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lsihub.org/directory/meghan-c-halley" TargetMode="External"/><Relationship Id="rId7" Type="http://schemas.openxmlformats.org/officeDocument/2006/relationships/hyperlink" Target="https://elsihub.org/directory/alison-bateman-house" TargetMode="External"/><Relationship Id="rId8" Type="http://schemas.openxmlformats.org/officeDocument/2006/relationships/hyperlink" Target="https://www.childrenshospital.org/directory/ingrid-holm" TargetMode="External"/><Relationship Id="rId11" Type="http://schemas.openxmlformats.org/officeDocument/2006/relationships/hyperlink" Target="https://doi.org/10.1056/NEJMoa1813279" TargetMode="External"/><Relationship Id="rId10" Type="http://schemas.openxmlformats.org/officeDocument/2006/relationships/hyperlink" Target="https://www.nytimes.com/2019/10/09/health/mila-makovec-drug.html" TargetMode="External"/><Relationship Id="rId13" Type="http://schemas.openxmlformats.org/officeDocument/2006/relationships/hyperlink" Target="https://doi.org/10.1089/nat.2021.0039" TargetMode="External"/><Relationship Id="rId12" Type="http://schemas.openxmlformats.org/officeDocument/2006/relationships/hyperlink" Target="https://doi.org/10.1056/NEJMe1911295" TargetMode="External"/><Relationship Id="rId15" Type="http://schemas.openxmlformats.org/officeDocument/2006/relationships/hyperlink" Target="https://www.nature.com/articles/s41587-023-01724-9" TargetMode="External"/><Relationship Id="rId14" Type="http://schemas.openxmlformats.org/officeDocument/2006/relationships/hyperlink" Target="https://www.nature.com/articles/s41586-023-06277-0" TargetMode="External"/><Relationship Id="rId17" Type="http://schemas.openxmlformats.org/officeDocument/2006/relationships/hyperlink" Target="https://www.nejm.org/doi/full/10.1056/nejmoa1813279" TargetMode="External"/><Relationship Id="rId16" Type="http://schemas.openxmlformats.org/officeDocument/2006/relationships/hyperlink" Target="https://www.nejm.org/doi/full/10.1056/nejmoa1702752#:~:text=Infants%20who%20received%20nusinersen%20had%20a%20significantly%20higher%20likelihood%20of,receiving%20ventilatory%20support%20at%20baseline" TargetMode="External"/><Relationship Id="rId19" Type="http://schemas.openxmlformats.org/officeDocument/2006/relationships/hyperlink" Target="https://www.nlorem.org/" TargetMode="External"/><Relationship Id="rId18" Type="http://schemas.openxmlformats.org/officeDocument/2006/relationships/hyperlink" Target="https://www.openaccessgovernment.org/antisense-therapies-tackling-challenging-high-unmet-medical/156151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